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A2" w:rsidRPr="00A86E96" w:rsidRDefault="007663CB" w:rsidP="007663CB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86E9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86E96" w:rsidRPr="00A86E9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86E96">
        <w:rPr>
          <w:rFonts w:ascii="Times New Roman" w:hAnsi="Times New Roman" w:cs="Times New Roman"/>
          <w:b/>
          <w:i/>
          <w:sz w:val="24"/>
          <w:szCs w:val="24"/>
        </w:rPr>
        <w:t xml:space="preserve"> do zapytania ofertowego</w:t>
      </w:r>
    </w:p>
    <w:p w:rsidR="007663CB" w:rsidRPr="007663CB" w:rsidRDefault="007663CB" w:rsidP="007663C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7663CB" w:rsidRDefault="007663CB" w:rsidP="007663CB">
      <w:pPr>
        <w:pStyle w:val="Bezodstpw"/>
      </w:pP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630"/>
        <w:gridCol w:w="3193"/>
        <w:gridCol w:w="7371"/>
        <w:gridCol w:w="850"/>
        <w:gridCol w:w="1985"/>
      </w:tblGrid>
      <w:tr w:rsidR="007663CB" w:rsidRPr="007663CB" w:rsidTr="000E14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 w:rsidP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Minimalne parametry techniczne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</w:tc>
      </w:tr>
      <w:tr w:rsidR="007663CB" w:rsidRPr="007663CB" w:rsidTr="000E14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Default="000E146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Jednostka sterująca pracowni językowej </w:t>
            </w:r>
          </w:p>
          <w:p w:rsidR="000E1463" w:rsidRPr="000E1463" w:rsidRDefault="000E1463" w:rsidP="000E146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(konsola dźwięku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akcesoriami)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2" w:rsidRPr="004260D2" w:rsidRDefault="004260D2" w:rsidP="004260D2">
            <w:pPr>
              <w:textAlignment w:val="center"/>
              <w:rPr>
                <w:color w:val="000000"/>
              </w:rPr>
            </w:pPr>
            <w:r w:rsidRPr="004260D2">
              <w:rPr>
                <w:color w:val="000000"/>
              </w:rPr>
              <w:t>Zestaw powinien zawierać:</w:t>
            </w:r>
          </w:p>
          <w:p w:rsidR="004260D2" w:rsidRPr="000E1463" w:rsidRDefault="004260D2" w:rsidP="000E1463">
            <w:pPr>
              <w:pStyle w:val="Akapitzlist"/>
              <w:numPr>
                <w:ilvl w:val="0"/>
                <w:numId w:val="4"/>
              </w:numPr>
              <w:ind w:left="317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 xml:space="preserve">Jednostkę sterującą w obudowie Rack 19", zawierającą zintegrowaną matrycę audio - umożliwiającą zestawianie połączeń pomiędzy </w:t>
            </w:r>
            <w:r w:rsidR="000E1463" w:rsidRPr="000E1463">
              <w:rPr>
                <w:color w:val="000000"/>
              </w:rPr>
              <w:br/>
            </w:r>
            <w:r w:rsidRPr="000E1463">
              <w:rPr>
                <w:color w:val="000000"/>
              </w:rPr>
              <w:t>33 użytkownikami oraz zawierającą cyfrowe regulacje poziomów:</w:t>
            </w:r>
          </w:p>
          <w:p w:rsidR="004260D2" w:rsidRPr="000E1463" w:rsidRDefault="004260D2" w:rsidP="000E1463">
            <w:pPr>
              <w:pStyle w:val="Akapitzlist"/>
              <w:numPr>
                <w:ilvl w:val="0"/>
                <w:numId w:val="1"/>
              </w:numPr>
              <w:ind w:left="600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niezależnie siły głosu każdego ucznia,</w:t>
            </w:r>
          </w:p>
          <w:p w:rsidR="004260D2" w:rsidRPr="000E1463" w:rsidRDefault="004260D2" w:rsidP="000E1463">
            <w:pPr>
              <w:pStyle w:val="Akapitzlist"/>
              <w:numPr>
                <w:ilvl w:val="0"/>
                <w:numId w:val="1"/>
              </w:numPr>
              <w:ind w:left="600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siły głosu nauczyciela,</w:t>
            </w:r>
          </w:p>
          <w:p w:rsidR="004260D2" w:rsidRPr="000E1463" w:rsidRDefault="004260D2" w:rsidP="000E1463">
            <w:pPr>
              <w:pStyle w:val="Akapitzlist"/>
              <w:numPr>
                <w:ilvl w:val="0"/>
                <w:numId w:val="1"/>
              </w:numPr>
              <w:ind w:left="600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niezależnie siły dźwięku 8 wejść audio,</w:t>
            </w:r>
          </w:p>
          <w:p w:rsidR="004260D2" w:rsidRPr="000E1463" w:rsidRDefault="004260D2" w:rsidP="000E1463">
            <w:pPr>
              <w:pStyle w:val="Akapitzlist"/>
              <w:numPr>
                <w:ilvl w:val="0"/>
                <w:numId w:val="1"/>
              </w:numPr>
              <w:ind w:left="600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siły dźwięku z głośników,</w:t>
            </w:r>
          </w:p>
          <w:p w:rsidR="004260D2" w:rsidRPr="000E1463" w:rsidRDefault="004260D2" w:rsidP="000E1463">
            <w:pPr>
              <w:pStyle w:val="Akapitzlist"/>
              <w:numPr>
                <w:ilvl w:val="0"/>
                <w:numId w:val="1"/>
              </w:numPr>
              <w:ind w:left="600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barwy dźwięku z głośników,</w:t>
            </w:r>
          </w:p>
          <w:p w:rsidR="004260D2" w:rsidRPr="000E1463" w:rsidRDefault="000E1463" w:rsidP="000E1463">
            <w:pPr>
              <w:pStyle w:val="Akapitzlist"/>
              <w:numPr>
                <w:ilvl w:val="0"/>
                <w:numId w:val="1"/>
              </w:numPr>
              <w:ind w:left="600" w:hanging="284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260D2" w:rsidRPr="000E1463">
              <w:rPr>
                <w:color w:val="000000"/>
              </w:rPr>
              <w:t>iły dźwięku nagrywania.</w:t>
            </w:r>
          </w:p>
          <w:p w:rsidR="004260D2" w:rsidRPr="000E1463" w:rsidRDefault="004260D2" w:rsidP="000E1463">
            <w:pPr>
              <w:pStyle w:val="Akapitzlist"/>
              <w:numPr>
                <w:ilvl w:val="0"/>
                <w:numId w:val="4"/>
              </w:numPr>
              <w:ind w:left="317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Oprogramowanie zarządzające systemem, z modułami:</w:t>
            </w:r>
          </w:p>
          <w:p w:rsidR="004260D2" w:rsidRPr="000E1463" w:rsidRDefault="004260D2" w:rsidP="000E1463">
            <w:pPr>
              <w:pStyle w:val="Akapitzlist"/>
              <w:numPr>
                <w:ilvl w:val="0"/>
                <w:numId w:val="2"/>
              </w:numPr>
              <w:ind w:left="600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dwuścieżkowej rejestracji dźwięku,</w:t>
            </w:r>
          </w:p>
          <w:p w:rsidR="004260D2" w:rsidRPr="000E1463" w:rsidRDefault="004260D2" w:rsidP="000E1463">
            <w:pPr>
              <w:pStyle w:val="Akapitzlist"/>
              <w:numPr>
                <w:ilvl w:val="0"/>
                <w:numId w:val="2"/>
              </w:numPr>
              <w:ind w:left="600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 xml:space="preserve">web serwera, umożliwiającego zdalne zarządzanie pracownią </w:t>
            </w:r>
            <w:r w:rsidR="000E1463" w:rsidRPr="000E1463">
              <w:rPr>
                <w:color w:val="000000"/>
              </w:rPr>
              <w:br/>
            </w:r>
            <w:r w:rsidRPr="000E1463">
              <w:rPr>
                <w:color w:val="000000"/>
              </w:rPr>
              <w:t>z urządzeń mobilnych,</w:t>
            </w:r>
          </w:p>
          <w:p w:rsidR="004260D2" w:rsidRDefault="004260D2" w:rsidP="000E1463">
            <w:pPr>
              <w:pStyle w:val="Akapitzlist"/>
              <w:numPr>
                <w:ilvl w:val="0"/>
                <w:numId w:val="2"/>
              </w:numPr>
              <w:ind w:left="600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umożliwiające obsługę wszystkich funkcji podanych w tabeli „Funkcje realizowane w pracowni”.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4"/>
              </w:numPr>
              <w:ind w:left="317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Jednostka sterująca, o której mowa w pkt. 1, winna zawierać następujące złącza: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5"/>
              </w:numPr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24</w:t>
            </w:r>
            <w:r w:rsidRPr="000E1463">
              <w:rPr>
                <w:color w:val="000000"/>
              </w:rPr>
              <w:t xml:space="preserve"> gniazda do podłączenia stanowisk uczniowskich,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5"/>
              </w:numPr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1 gniazdo przewodowej słuchawki nauczyciela,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5"/>
              </w:numPr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1 gniazdo bezprzewodowej słuchawki nauczyciela,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5"/>
              </w:numPr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8 niezależnych wejść audio do podłączenia źródeł dźwięku,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5"/>
              </w:numPr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2 wyjścia audio do nagrywania,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5"/>
              </w:numPr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2 wyjścia głośnikowe do głośników 4-16 ohm.</w:t>
            </w:r>
          </w:p>
          <w:p w:rsidR="000E1463" w:rsidRPr="000E1463" w:rsidRDefault="000E1463" w:rsidP="000E1463">
            <w:pPr>
              <w:ind w:left="-43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oraz p</w:t>
            </w:r>
            <w:r w:rsidRPr="000E1463">
              <w:rPr>
                <w:color w:val="000000"/>
              </w:rPr>
              <w:t xml:space="preserve">ołączenie stanowisk uczniowskich w topologii gwiazdy </w:t>
            </w:r>
            <w:r>
              <w:rPr>
                <w:color w:val="000000"/>
              </w:rPr>
              <w:br/>
            </w:r>
            <w:r w:rsidRPr="000E1463">
              <w:rPr>
                <w:color w:val="000000"/>
              </w:rPr>
              <w:t>(w przypadku uszkodzenia jednego z przyłączy po</w:t>
            </w:r>
            <w:r>
              <w:rPr>
                <w:color w:val="000000"/>
              </w:rPr>
              <w:t>zostałe działają bez zakłóceń), z</w:t>
            </w:r>
            <w:r w:rsidRPr="000E1463">
              <w:rPr>
                <w:color w:val="000000"/>
              </w:rPr>
              <w:t>asilanie stanowisk uczni</w:t>
            </w:r>
            <w:r>
              <w:rPr>
                <w:color w:val="000000"/>
              </w:rPr>
              <w:t>owskich - napięciem bezpiecznym, za</w:t>
            </w:r>
            <w:r w:rsidRPr="000E1463">
              <w:rPr>
                <w:color w:val="000000"/>
              </w:rPr>
              <w:t>silanie jednostki centralnej – 230VAC.</w:t>
            </w:r>
          </w:p>
          <w:p w:rsidR="00A43ED1" w:rsidRPr="000614CA" w:rsidRDefault="004260D2" w:rsidP="004260D2">
            <w:pPr>
              <w:textAlignment w:val="center"/>
              <w:rPr>
                <w:color w:val="000000"/>
              </w:rPr>
            </w:pPr>
            <w:r w:rsidRPr="004260D2">
              <w:rPr>
                <w:color w:val="000000"/>
              </w:rPr>
              <w:t>Jednostka sterująca powinna być obsługiwana za pomocą powyższego oprogramowania za pomocą zewnętrznego komputera PC.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Pr="007663CB" w:rsidRDefault="000E146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63" w:rsidRPr="007663CB" w:rsidTr="000E1463">
        <w:tc>
          <w:tcPr>
            <w:tcW w:w="630" w:type="dxa"/>
            <w:shd w:val="clear" w:color="auto" w:fill="BFBFBF" w:themeFill="background1" w:themeFillShade="BF"/>
            <w:hideMark/>
          </w:tcPr>
          <w:p w:rsidR="000E1463" w:rsidRPr="007663CB" w:rsidRDefault="000E1463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193" w:type="dxa"/>
            <w:shd w:val="clear" w:color="auto" w:fill="BFBFBF" w:themeFill="background1" w:themeFillShade="BF"/>
            <w:hideMark/>
          </w:tcPr>
          <w:p w:rsidR="000E1463" w:rsidRPr="007663CB" w:rsidRDefault="000E1463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7371" w:type="dxa"/>
            <w:shd w:val="clear" w:color="auto" w:fill="BFBFBF" w:themeFill="background1" w:themeFillShade="BF"/>
            <w:hideMark/>
          </w:tcPr>
          <w:p w:rsidR="000E1463" w:rsidRPr="007663CB" w:rsidRDefault="000E1463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Minimalne parametry techniczne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:rsidR="000E1463" w:rsidRPr="007663CB" w:rsidRDefault="000E1463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985" w:type="dxa"/>
            <w:shd w:val="clear" w:color="auto" w:fill="BFBFBF" w:themeFill="background1" w:themeFillShade="BF"/>
            <w:hideMark/>
          </w:tcPr>
          <w:p w:rsidR="000E1463" w:rsidRPr="007663CB" w:rsidRDefault="000E1463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</w:tc>
      </w:tr>
      <w:tr w:rsidR="000E1463" w:rsidRPr="007663CB" w:rsidTr="000E1463">
        <w:tc>
          <w:tcPr>
            <w:tcW w:w="630" w:type="dxa"/>
            <w:hideMark/>
          </w:tcPr>
          <w:p w:rsidR="000E1463" w:rsidRPr="007663CB" w:rsidRDefault="000E1463" w:rsidP="0056384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0E1463" w:rsidRPr="000E1463" w:rsidRDefault="000E1463" w:rsidP="0056384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Słuchawki przewodowe </w:t>
            </w:r>
            <w:r w:rsidRPr="000E14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mikrofonem</w:t>
            </w:r>
          </w:p>
        </w:tc>
        <w:tc>
          <w:tcPr>
            <w:tcW w:w="7371" w:type="dxa"/>
          </w:tcPr>
          <w:p w:rsidR="000E1463" w:rsidRPr="000E1463" w:rsidRDefault="000E1463" w:rsidP="000E1463">
            <w:pPr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Trwałe, odporne na uszkodzenia mechaniczne, w miękkiej, elastycznej obudowie, z mikrofonem na giętkim pałąku, wyposażone w duże, wokółuszne, wentylowane nauszniki. Wtyczka 5 pin. Certyfikat CE.</w:t>
            </w:r>
          </w:p>
          <w:p w:rsidR="000E1463" w:rsidRPr="000E1463" w:rsidRDefault="000E1463" w:rsidP="000E1463">
            <w:pPr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 xml:space="preserve">Parametry mikrofonu: 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6"/>
              </w:numPr>
              <w:ind w:left="317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mikrofon pojemnościowy dookólny - charakteryzuje się bardzo dużą czułością ze wszystkich kierunków,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6"/>
              </w:numPr>
              <w:ind w:left="317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pasmo przenoszenia 30-16000Hz,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6"/>
              </w:numPr>
              <w:ind w:left="317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impedancja  1,8 kΩ,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6"/>
              </w:numPr>
              <w:ind w:left="317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czułość -48 ±3 dB.</w:t>
            </w:r>
          </w:p>
          <w:p w:rsidR="000E1463" w:rsidRPr="000E1463" w:rsidRDefault="000E1463" w:rsidP="000E1463">
            <w:pPr>
              <w:ind w:left="33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Parametry słuchawek: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6"/>
              </w:numPr>
              <w:ind w:left="317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minimalna max. moc wyjściowa 100 mW,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6"/>
              </w:numPr>
              <w:ind w:left="317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pasmo przenoszenia 40-14400 Hz,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6"/>
              </w:numPr>
              <w:ind w:left="317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impedancja 2 x 32 Ω,</w:t>
            </w:r>
          </w:p>
          <w:p w:rsidR="000E1463" w:rsidRPr="000E1463" w:rsidRDefault="000E1463" w:rsidP="000E1463">
            <w:pPr>
              <w:pStyle w:val="Akapitzlist"/>
              <w:numPr>
                <w:ilvl w:val="0"/>
                <w:numId w:val="6"/>
              </w:numPr>
              <w:ind w:left="317" w:hanging="284"/>
              <w:textAlignment w:val="center"/>
              <w:rPr>
                <w:color w:val="000000"/>
              </w:rPr>
            </w:pPr>
            <w:r w:rsidRPr="000E1463">
              <w:rPr>
                <w:color w:val="000000"/>
              </w:rPr>
              <w:t>czułość  &gt;98 dB.</w:t>
            </w:r>
          </w:p>
        </w:tc>
        <w:tc>
          <w:tcPr>
            <w:tcW w:w="850" w:type="dxa"/>
          </w:tcPr>
          <w:p w:rsidR="000E1463" w:rsidRPr="007663CB" w:rsidRDefault="000E1463" w:rsidP="0056384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hideMark/>
          </w:tcPr>
          <w:p w:rsidR="000E1463" w:rsidRPr="007663CB" w:rsidRDefault="000E1463" w:rsidP="0056384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63" w:rsidRPr="007663CB" w:rsidTr="000E1463">
        <w:tc>
          <w:tcPr>
            <w:tcW w:w="630" w:type="dxa"/>
          </w:tcPr>
          <w:p w:rsidR="000E1463" w:rsidRDefault="000E1463" w:rsidP="0056384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3" w:type="dxa"/>
          </w:tcPr>
          <w:p w:rsidR="000E1463" w:rsidRDefault="000E1463" w:rsidP="0056384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Głośnik montowany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blendzie biurka lektorskiego</w:t>
            </w:r>
          </w:p>
          <w:p w:rsidR="004E6C6B" w:rsidRPr="000E1463" w:rsidRDefault="004E6C6B" w:rsidP="0056384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2A78E9" w:rsidRPr="002A78E9" w:rsidRDefault="002A78E9" w:rsidP="002A78E9">
            <w:pPr>
              <w:textAlignment w:val="center"/>
              <w:rPr>
                <w:color w:val="000000"/>
              </w:rPr>
            </w:pPr>
            <w:r w:rsidRPr="002A78E9">
              <w:rPr>
                <w:color w:val="000000"/>
              </w:rPr>
              <w:t>2-drożny głośnik współosiowy o parametrach:</w:t>
            </w:r>
          </w:p>
          <w:p w:rsidR="002A78E9" w:rsidRPr="002A78E9" w:rsidRDefault="002A78E9" w:rsidP="002A78E9">
            <w:pPr>
              <w:pStyle w:val="Akapitzlist"/>
              <w:numPr>
                <w:ilvl w:val="0"/>
                <w:numId w:val="7"/>
              </w:numPr>
              <w:ind w:left="317" w:hanging="284"/>
              <w:textAlignment w:val="center"/>
              <w:rPr>
                <w:color w:val="000000"/>
              </w:rPr>
            </w:pPr>
            <w:r w:rsidRPr="002A78E9">
              <w:rPr>
                <w:color w:val="000000"/>
              </w:rPr>
              <w:t>minimalna moc max. 80W,</w:t>
            </w:r>
          </w:p>
          <w:p w:rsidR="002A78E9" w:rsidRPr="002A78E9" w:rsidRDefault="002A78E9" w:rsidP="002A78E9">
            <w:pPr>
              <w:pStyle w:val="Akapitzlist"/>
              <w:numPr>
                <w:ilvl w:val="0"/>
                <w:numId w:val="7"/>
              </w:numPr>
              <w:ind w:left="317" w:hanging="284"/>
              <w:textAlignment w:val="center"/>
              <w:rPr>
                <w:color w:val="000000"/>
              </w:rPr>
            </w:pPr>
            <w:r w:rsidRPr="002A78E9">
              <w:rPr>
                <w:color w:val="000000"/>
              </w:rPr>
              <w:t>pasmo przenoszenia 100–20000Hz,</w:t>
            </w:r>
          </w:p>
          <w:p w:rsidR="002A78E9" w:rsidRPr="002A78E9" w:rsidRDefault="002A78E9" w:rsidP="002A78E9">
            <w:pPr>
              <w:pStyle w:val="Akapitzlist"/>
              <w:numPr>
                <w:ilvl w:val="0"/>
                <w:numId w:val="7"/>
              </w:numPr>
              <w:ind w:left="317" w:hanging="284"/>
              <w:textAlignment w:val="center"/>
              <w:rPr>
                <w:color w:val="000000"/>
              </w:rPr>
            </w:pPr>
            <w:r w:rsidRPr="002A78E9">
              <w:rPr>
                <w:color w:val="000000"/>
              </w:rPr>
              <w:t>średnica minimum 16cm,</w:t>
            </w:r>
          </w:p>
          <w:p w:rsidR="000E1463" w:rsidRPr="002A78E9" w:rsidRDefault="002A78E9" w:rsidP="002A78E9">
            <w:pPr>
              <w:pStyle w:val="Akapitzlist"/>
              <w:numPr>
                <w:ilvl w:val="0"/>
                <w:numId w:val="7"/>
              </w:numPr>
              <w:ind w:left="317" w:hanging="284"/>
              <w:textAlignment w:val="center"/>
              <w:rPr>
                <w:color w:val="000000"/>
              </w:rPr>
            </w:pPr>
            <w:r w:rsidRPr="002A78E9">
              <w:rPr>
                <w:color w:val="000000"/>
              </w:rPr>
              <w:t>sprawność min. 88dB/1W/1M.</w:t>
            </w:r>
          </w:p>
        </w:tc>
        <w:tc>
          <w:tcPr>
            <w:tcW w:w="850" w:type="dxa"/>
          </w:tcPr>
          <w:p w:rsidR="000E1463" w:rsidRDefault="00D26D62" w:rsidP="0056384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E1463" w:rsidRPr="007663CB" w:rsidRDefault="000E1463" w:rsidP="0056384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62" w:rsidRPr="007663CB" w:rsidTr="000E1463">
        <w:tc>
          <w:tcPr>
            <w:tcW w:w="630" w:type="dxa"/>
          </w:tcPr>
          <w:p w:rsidR="00D26D62" w:rsidRDefault="00D26D62" w:rsidP="0056384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3" w:type="dxa"/>
          </w:tcPr>
          <w:p w:rsidR="00D26D62" w:rsidRDefault="00D26D62" w:rsidP="0056384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Stolik dla ucznia</w:t>
            </w:r>
          </w:p>
        </w:tc>
        <w:tc>
          <w:tcPr>
            <w:tcW w:w="7371" w:type="dxa"/>
          </w:tcPr>
          <w:p w:rsidR="00D26D62" w:rsidRPr="00BE3D2A" w:rsidRDefault="00D26D62" w:rsidP="002A78E9">
            <w:pPr>
              <w:textAlignment w:val="center"/>
              <w:rPr>
                <w:color w:val="000000"/>
              </w:rPr>
            </w:pPr>
            <w:r w:rsidRPr="00D26D62">
              <w:rPr>
                <w:color w:val="000000"/>
                <w:szCs w:val="22"/>
              </w:rPr>
              <w:t>Stolik uczniowski 130 cm x 60 cm, wysokość 76 cm</w:t>
            </w:r>
            <w:r w:rsidR="00BE3D2A" w:rsidRPr="00BE3D2A">
              <w:rPr>
                <w:color w:val="000000"/>
                <w:szCs w:val="22"/>
              </w:rPr>
              <w:t xml:space="preserve">, </w:t>
            </w:r>
            <w:r w:rsidR="00BE3D2A" w:rsidRPr="00D26D62">
              <w:rPr>
                <w:color w:val="000000"/>
                <w:szCs w:val="22"/>
              </w:rPr>
              <w:t>elementy wykonane z płyty laminowanej gr. 18 mm,</w:t>
            </w:r>
            <w:r w:rsidR="00BE3D2A" w:rsidRPr="00BE3D2A">
              <w:rPr>
                <w:color w:val="000000"/>
                <w:szCs w:val="22"/>
              </w:rPr>
              <w:t xml:space="preserve"> </w:t>
            </w:r>
            <w:r w:rsidR="00BE3D2A" w:rsidRPr="00D26D62">
              <w:rPr>
                <w:color w:val="000000"/>
                <w:szCs w:val="22"/>
              </w:rPr>
              <w:t>blat grubości min. 25 mm wykończony okleiną PCV 2 mm,</w:t>
            </w:r>
            <w:r w:rsidR="00BE3D2A" w:rsidRPr="00BE3D2A">
              <w:rPr>
                <w:color w:val="000000"/>
                <w:szCs w:val="22"/>
              </w:rPr>
              <w:t xml:space="preserve"> </w:t>
            </w:r>
            <w:r w:rsidR="00BE3D2A" w:rsidRPr="00D26D62">
              <w:rPr>
                <w:color w:val="000000"/>
                <w:szCs w:val="22"/>
              </w:rPr>
              <w:t>blenda o minimalnej wysokości 50 cm,</w:t>
            </w:r>
            <w:r w:rsidR="00BE3D2A" w:rsidRPr="00BE3D2A">
              <w:rPr>
                <w:color w:val="000000"/>
                <w:szCs w:val="22"/>
              </w:rPr>
              <w:t xml:space="preserve"> </w:t>
            </w:r>
            <w:r w:rsidR="00BE3D2A" w:rsidRPr="00D26D62">
              <w:rPr>
                <w:color w:val="000000"/>
                <w:szCs w:val="22"/>
              </w:rPr>
              <w:t>wewnętrzny kanał kablowy pomiędzy blatem a blendą min. 12 x 12 cm,</w:t>
            </w:r>
            <w:r w:rsidR="00BE3D2A" w:rsidRPr="00BE3D2A">
              <w:rPr>
                <w:color w:val="000000"/>
                <w:szCs w:val="22"/>
              </w:rPr>
              <w:t xml:space="preserve"> </w:t>
            </w:r>
            <w:r w:rsidR="00BE3D2A" w:rsidRPr="00D26D62">
              <w:rPr>
                <w:color w:val="000000"/>
                <w:szCs w:val="22"/>
              </w:rPr>
              <w:t>zaokrąglone, wolne (nie przylegające do innych mebli) narożniki blatu,</w:t>
            </w:r>
            <w:r w:rsidR="00BE3D2A" w:rsidRPr="00BE3D2A">
              <w:rPr>
                <w:color w:val="000000"/>
                <w:szCs w:val="22"/>
              </w:rPr>
              <w:t xml:space="preserve"> </w:t>
            </w:r>
            <w:r w:rsidR="00BE3D2A">
              <w:rPr>
                <w:color w:val="000000"/>
                <w:szCs w:val="22"/>
              </w:rPr>
              <w:br/>
            </w:r>
            <w:r w:rsidR="00BE3D2A" w:rsidRPr="00D26D62">
              <w:rPr>
                <w:color w:val="000000"/>
                <w:szCs w:val="22"/>
              </w:rPr>
              <w:t>min. 50 kolorów do wyboru</w:t>
            </w:r>
            <w:r w:rsidR="00BE3D2A" w:rsidRPr="00BE3D2A">
              <w:rPr>
                <w:color w:val="000000"/>
                <w:szCs w:val="22"/>
              </w:rPr>
              <w:t>.</w:t>
            </w:r>
          </w:p>
        </w:tc>
        <w:tc>
          <w:tcPr>
            <w:tcW w:w="850" w:type="dxa"/>
          </w:tcPr>
          <w:p w:rsidR="00D26D62" w:rsidRDefault="00BE3D2A" w:rsidP="0056384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D26D62" w:rsidRPr="007663CB" w:rsidRDefault="00D26D62" w:rsidP="0056384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2A" w:rsidRPr="007663CB" w:rsidTr="000E1463">
        <w:tc>
          <w:tcPr>
            <w:tcW w:w="630" w:type="dxa"/>
          </w:tcPr>
          <w:p w:rsidR="00BE3D2A" w:rsidRDefault="00BE3D2A" w:rsidP="0056384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3" w:type="dxa"/>
          </w:tcPr>
          <w:p w:rsidR="00BE3D2A" w:rsidRDefault="00BE3D2A" w:rsidP="00BE3D2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Biurko z szafką</w:t>
            </w:r>
          </w:p>
        </w:tc>
        <w:tc>
          <w:tcPr>
            <w:tcW w:w="7371" w:type="dxa"/>
          </w:tcPr>
          <w:p w:rsidR="00BE3D2A" w:rsidRPr="00BE3D2A" w:rsidRDefault="00BE3D2A" w:rsidP="002A78E9">
            <w:pPr>
              <w:textAlignment w:val="center"/>
              <w:rPr>
                <w:color w:val="000000"/>
                <w:szCs w:val="22"/>
              </w:rPr>
            </w:pPr>
            <w:r w:rsidRPr="00BE3D2A">
              <w:rPr>
                <w:color w:val="000000"/>
                <w:szCs w:val="22"/>
              </w:rPr>
              <w:t>Bi</w:t>
            </w:r>
            <w:r w:rsidRPr="00BE3D2A">
              <w:rPr>
                <w:color w:val="000000"/>
                <w:szCs w:val="22"/>
              </w:rPr>
              <w:t xml:space="preserve">urko o wymiarach 170 cm x 75 cm, </w:t>
            </w:r>
            <w:r w:rsidRPr="00BE3D2A">
              <w:rPr>
                <w:color w:val="000000"/>
                <w:szCs w:val="22"/>
              </w:rPr>
              <w:t>elementy wykonane z płyty laminowanej gr. 18 mm,</w:t>
            </w:r>
            <w:r w:rsidRPr="00BE3D2A">
              <w:rPr>
                <w:color w:val="000000"/>
                <w:szCs w:val="22"/>
              </w:rPr>
              <w:t xml:space="preserve"> </w:t>
            </w:r>
            <w:r w:rsidRPr="00BE3D2A">
              <w:rPr>
                <w:color w:val="000000"/>
                <w:szCs w:val="22"/>
              </w:rPr>
              <w:t>blat grubości min. 25 mm wykończony okleiną PCV 2 mm</w:t>
            </w:r>
            <w:r w:rsidRPr="00BE3D2A">
              <w:rPr>
                <w:color w:val="000000"/>
                <w:szCs w:val="22"/>
              </w:rPr>
              <w:t xml:space="preserve">, </w:t>
            </w:r>
            <w:r w:rsidRPr="00BE3D2A">
              <w:rPr>
                <w:color w:val="000000"/>
                <w:szCs w:val="22"/>
              </w:rPr>
              <w:t>blenda o minimalnej wysokości 50 cm</w:t>
            </w:r>
            <w:r w:rsidRPr="00BE3D2A">
              <w:rPr>
                <w:color w:val="000000"/>
                <w:szCs w:val="22"/>
              </w:rPr>
              <w:t xml:space="preserve">, </w:t>
            </w:r>
            <w:r w:rsidRPr="00BE3D2A">
              <w:rPr>
                <w:color w:val="000000"/>
                <w:szCs w:val="22"/>
              </w:rPr>
              <w:t>wewnętrzny kanał kablowy,</w:t>
            </w:r>
            <w:r w:rsidRPr="00BE3D2A">
              <w:rPr>
                <w:color w:val="000000"/>
                <w:szCs w:val="22"/>
              </w:rPr>
              <w:t xml:space="preserve"> </w:t>
            </w:r>
            <w:r w:rsidRPr="00BE3D2A">
              <w:rPr>
                <w:color w:val="000000"/>
                <w:szCs w:val="22"/>
              </w:rPr>
              <w:t>zaokrąglone, wolne (nie przylegające do innych mebli) narożniki blatu,</w:t>
            </w:r>
            <w:r w:rsidRPr="00BE3D2A">
              <w:rPr>
                <w:color w:val="000000"/>
                <w:szCs w:val="22"/>
              </w:rPr>
              <w:t xml:space="preserve"> </w:t>
            </w:r>
            <w:r w:rsidRPr="00BE3D2A">
              <w:rPr>
                <w:color w:val="000000"/>
                <w:szCs w:val="22"/>
              </w:rPr>
              <w:t>nadstawka prywatyzująca na całej długości biurka</w:t>
            </w:r>
            <w:r w:rsidRPr="00BE3D2A">
              <w:rPr>
                <w:color w:val="000000"/>
                <w:szCs w:val="22"/>
              </w:rPr>
              <w:t xml:space="preserve">, </w:t>
            </w:r>
            <w:r w:rsidRPr="00BE3D2A">
              <w:rPr>
                <w:color w:val="000000"/>
                <w:szCs w:val="22"/>
              </w:rPr>
              <w:t>łukowe wcięcie blatu dla osoby siedzącej,</w:t>
            </w:r>
            <w:r w:rsidRPr="00BE3D2A">
              <w:rPr>
                <w:color w:val="000000"/>
                <w:szCs w:val="22"/>
              </w:rPr>
              <w:t xml:space="preserve"> </w:t>
            </w:r>
            <w:r w:rsidRPr="00BE3D2A">
              <w:rPr>
                <w:color w:val="000000"/>
                <w:szCs w:val="22"/>
              </w:rPr>
              <w:t>zamykana szafka na sprzęt elektroniczny z prawej strony</w:t>
            </w:r>
            <w:r w:rsidRPr="00BE3D2A">
              <w:rPr>
                <w:color w:val="000000"/>
                <w:szCs w:val="22"/>
              </w:rPr>
              <w:t xml:space="preserve">, </w:t>
            </w:r>
            <w:r w:rsidRPr="00BE3D2A">
              <w:rPr>
                <w:color w:val="000000"/>
                <w:szCs w:val="22"/>
              </w:rPr>
              <w:t>min. 50 kolorów do wyboru</w:t>
            </w:r>
            <w:r w:rsidRPr="00BE3D2A">
              <w:rPr>
                <w:color w:val="000000"/>
                <w:szCs w:val="22"/>
              </w:rPr>
              <w:t>.</w:t>
            </w:r>
          </w:p>
        </w:tc>
        <w:tc>
          <w:tcPr>
            <w:tcW w:w="850" w:type="dxa"/>
          </w:tcPr>
          <w:p w:rsidR="00BE3D2A" w:rsidRDefault="00BE3D2A" w:rsidP="0056384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3D2A" w:rsidRPr="007663CB" w:rsidRDefault="00BE3D2A" w:rsidP="0056384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ED1" w:rsidRDefault="00A43ED1"/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630"/>
        <w:gridCol w:w="3193"/>
        <w:gridCol w:w="7371"/>
        <w:gridCol w:w="850"/>
        <w:gridCol w:w="1985"/>
      </w:tblGrid>
      <w:tr w:rsidR="00BE3D2A" w:rsidRPr="007663CB" w:rsidTr="0056384F">
        <w:tc>
          <w:tcPr>
            <w:tcW w:w="630" w:type="dxa"/>
            <w:shd w:val="clear" w:color="auto" w:fill="BFBFBF" w:themeFill="background1" w:themeFillShade="BF"/>
            <w:hideMark/>
          </w:tcPr>
          <w:p w:rsidR="00BE3D2A" w:rsidRPr="007663CB" w:rsidRDefault="00BE3D2A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193" w:type="dxa"/>
            <w:shd w:val="clear" w:color="auto" w:fill="BFBFBF" w:themeFill="background1" w:themeFillShade="BF"/>
            <w:hideMark/>
          </w:tcPr>
          <w:p w:rsidR="00BE3D2A" w:rsidRPr="007663CB" w:rsidRDefault="00BE3D2A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7371" w:type="dxa"/>
            <w:shd w:val="clear" w:color="auto" w:fill="BFBFBF" w:themeFill="background1" w:themeFillShade="BF"/>
            <w:hideMark/>
          </w:tcPr>
          <w:p w:rsidR="00BE3D2A" w:rsidRPr="007663CB" w:rsidRDefault="00BE3D2A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Minimalne parametry techniczne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:rsidR="00BE3D2A" w:rsidRPr="007663CB" w:rsidRDefault="00BE3D2A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985" w:type="dxa"/>
            <w:shd w:val="clear" w:color="auto" w:fill="BFBFBF" w:themeFill="background1" w:themeFillShade="BF"/>
            <w:hideMark/>
          </w:tcPr>
          <w:p w:rsidR="00BE3D2A" w:rsidRPr="007663CB" w:rsidRDefault="00BE3D2A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</w:tc>
      </w:tr>
      <w:tr w:rsidR="00BE3D2A" w:rsidRPr="007663CB" w:rsidTr="00BE3D2A">
        <w:tc>
          <w:tcPr>
            <w:tcW w:w="630" w:type="dxa"/>
            <w:shd w:val="clear" w:color="auto" w:fill="FFFFFF" w:themeFill="background1"/>
          </w:tcPr>
          <w:p w:rsidR="00BE3D2A" w:rsidRPr="007663CB" w:rsidRDefault="00BE3D2A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93" w:type="dxa"/>
            <w:shd w:val="clear" w:color="auto" w:fill="FFFFFF" w:themeFill="background1"/>
          </w:tcPr>
          <w:p w:rsidR="00BE3D2A" w:rsidRPr="007663CB" w:rsidRDefault="00BE3D2A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Krzesło dla ucznia</w:t>
            </w:r>
          </w:p>
        </w:tc>
        <w:tc>
          <w:tcPr>
            <w:tcW w:w="7371" w:type="dxa"/>
            <w:shd w:val="clear" w:color="auto" w:fill="FFFFFF" w:themeFill="background1"/>
          </w:tcPr>
          <w:p w:rsidR="00BE3D2A" w:rsidRPr="00BE3D2A" w:rsidRDefault="00BE3D2A" w:rsidP="002C48C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Kształt: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 xml:space="preserve"> w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 xml:space="preserve">yprofilowane, wklęsło-wypukła forma pozwalająca 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na prawidłowe ułożenie kręgosłupa.</w:t>
            </w:r>
          </w:p>
          <w:p w:rsidR="00BE3D2A" w:rsidRPr="00BE3D2A" w:rsidRDefault="00BE3D2A" w:rsidP="002C48C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Krzesło dostosowane dla uczniów o wzroście 159 - 188 cm.</w:t>
            </w:r>
          </w:p>
          <w:p w:rsidR="00BE3D2A" w:rsidRPr="00BE3D2A" w:rsidRDefault="00BE3D2A" w:rsidP="002C48C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Siedzisko oraz oparcie: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 xml:space="preserve"> w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ykonane z tworzywa sztucznego. W tylnej części siedzisko posiada miejsce do chwytu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BE3D2A" w:rsidRPr="00BE3D2A" w:rsidRDefault="00BE3D2A" w:rsidP="002C48C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Kolor siedziska: min. 6 do wyboru</w:t>
            </w:r>
          </w:p>
          <w:p w:rsidR="00BE3D2A" w:rsidRPr="00BE3D2A" w:rsidRDefault="00BE3D2A" w:rsidP="002C48C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Nogi krzesła: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 xml:space="preserve"> w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 xml:space="preserve">ykonane ze stali o średnicy min. 20 mm polakierowane farbą proszkową w kolorze RAL 9006. Stopki stelaża wykonane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z tworzywa sztucznego zabezpieczające podłogę przed zarysowaniem.</w:t>
            </w:r>
          </w:p>
          <w:p w:rsidR="00BE3D2A" w:rsidRPr="00BE3D2A" w:rsidRDefault="00BE3D2A" w:rsidP="002C48C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Funkcje: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 xml:space="preserve"> s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telaż krzesła umożliwia sztaplowanie, czyli układanie jednego krzesła na drugie.</w:t>
            </w:r>
          </w:p>
          <w:p w:rsidR="00BE3D2A" w:rsidRPr="007663CB" w:rsidRDefault="00BE3D2A" w:rsidP="002C48C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Certyfikaty i atesty: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 xml:space="preserve"> c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 xml:space="preserve">ertyfikat dopuszczający do użytkowania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w placówkach oświatowych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, atest h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igieniczny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, p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 xml:space="preserve">rotokół 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o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 xml:space="preserve">ceny 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e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rgonomicznej</w:t>
            </w:r>
            <w:r w:rsidRPr="00BE3D2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BE3D2A" w:rsidRPr="00BE3D2A" w:rsidRDefault="00BE3D2A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D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FFFFFF" w:themeFill="background1"/>
          </w:tcPr>
          <w:p w:rsidR="00BE3D2A" w:rsidRPr="007663CB" w:rsidRDefault="00BE3D2A" w:rsidP="0056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3D2A" w:rsidRDefault="00BE3D2A"/>
    <w:p w:rsidR="00BE3D2A" w:rsidRPr="00BE3D2A" w:rsidRDefault="00BE3D2A">
      <w:pPr>
        <w:rPr>
          <w:b/>
          <w:i/>
          <w:u w:val="single"/>
        </w:rPr>
      </w:pPr>
      <w:r w:rsidRPr="00BE3D2A">
        <w:rPr>
          <w:b/>
          <w:i/>
          <w:u w:val="single"/>
        </w:rPr>
        <w:t>Funkcje realizowane w pracowni językowej:</w:t>
      </w:r>
    </w:p>
    <w:p w:rsidR="00BE3D2A" w:rsidRDefault="00BE3D2A" w:rsidP="00BE3D2A">
      <w:r>
        <w:t>Oprogramowanie powinno umożliwiać sterowanie wszystkimi funkcjami pracowni za pomocą tabletu z dowolnym systemem operacyjnym.</w:t>
      </w:r>
    </w:p>
    <w:p w:rsidR="00BE3D2A" w:rsidRDefault="00BE3D2A" w:rsidP="00BE3D2A">
      <w:r>
        <w:t xml:space="preserve">Realizowane funkcje: </w:t>
      </w:r>
    </w:p>
    <w:p w:rsidR="00BE3D2A" w:rsidRDefault="00BE3D2A" w:rsidP="00BE3D2A">
      <w:pPr>
        <w:pStyle w:val="Akapitzlist"/>
        <w:numPr>
          <w:ilvl w:val="0"/>
          <w:numId w:val="8"/>
        </w:numPr>
        <w:ind w:left="284" w:hanging="284"/>
      </w:pPr>
      <w:r>
        <w:t>Tworzenie list uczniów.</w:t>
      </w:r>
    </w:p>
    <w:p w:rsidR="00BE3D2A" w:rsidRDefault="00BE3D2A" w:rsidP="00BE3D2A">
      <w:pPr>
        <w:pStyle w:val="Akapitzlist"/>
        <w:numPr>
          <w:ilvl w:val="0"/>
          <w:numId w:val="8"/>
        </w:numPr>
        <w:ind w:left="284" w:hanging="284"/>
      </w:pPr>
      <w:r>
        <w:t>Możliwość importu listy uczniów z większości dostępnych na rynku dzienników elektronicznych (pliki SOU, XML, CSV).</w:t>
      </w:r>
    </w:p>
    <w:p w:rsidR="00BE3D2A" w:rsidRDefault="00BE3D2A" w:rsidP="00BE3D2A">
      <w:pPr>
        <w:pStyle w:val="Akapitzlist"/>
        <w:numPr>
          <w:ilvl w:val="0"/>
          <w:numId w:val="8"/>
        </w:numPr>
        <w:ind w:left="284" w:hanging="284"/>
      </w:pPr>
      <w:r>
        <w:t>Możliwość sortowania uczniów po liczbie porządkowej/nazwisku/numerze stanowiska.</w:t>
      </w:r>
    </w:p>
    <w:p w:rsidR="00BE3D2A" w:rsidRDefault="00BE3D2A" w:rsidP="00BE3D2A">
      <w:pPr>
        <w:pStyle w:val="Akapitzlist"/>
        <w:numPr>
          <w:ilvl w:val="0"/>
          <w:numId w:val="8"/>
        </w:numPr>
        <w:ind w:left="284" w:hanging="284"/>
      </w:pPr>
      <w:r>
        <w:t>Przyporządkowanie uczniów z listy do numerów stanowisk.</w:t>
      </w:r>
    </w:p>
    <w:p w:rsidR="00BE3D2A" w:rsidRDefault="00BE3D2A" w:rsidP="00BE3D2A">
      <w:pPr>
        <w:pStyle w:val="Akapitzlist"/>
        <w:numPr>
          <w:ilvl w:val="0"/>
          <w:numId w:val="8"/>
        </w:numPr>
        <w:ind w:left="284" w:hanging="284"/>
      </w:pPr>
      <w:r>
        <w:t>Automatyczne przyporządkowanie ikony płci ucznia według imienia.</w:t>
      </w:r>
    </w:p>
    <w:p w:rsidR="00BE3D2A" w:rsidRDefault="00BE3D2A" w:rsidP="00BE3D2A">
      <w:pPr>
        <w:pStyle w:val="Akapitzlist"/>
        <w:numPr>
          <w:ilvl w:val="0"/>
          <w:numId w:val="8"/>
        </w:numPr>
        <w:ind w:left="284" w:hanging="284"/>
      </w:pPr>
      <w:r>
        <w:t>Timer odmierzający czas pracy.</w:t>
      </w:r>
    </w:p>
    <w:p w:rsidR="00BE3D2A" w:rsidRDefault="00BE3D2A" w:rsidP="00BE3D2A">
      <w:pPr>
        <w:pStyle w:val="Akapitzlist"/>
        <w:numPr>
          <w:ilvl w:val="0"/>
          <w:numId w:val="8"/>
        </w:numPr>
        <w:ind w:left="284" w:hanging="284"/>
      </w:pPr>
      <w:r>
        <w:t>Możliwość zdefiniowania ilości przycisków symbolizujących stanowiska uczniów w zależności od liczebności klas.</w:t>
      </w:r>
    </w:p>
    <w:p w:rsidR="00BE3D2A" w:rsidRDefault="00BE3D2A" w:rsidP="00BE3D2A">
      <w:pPr>
        <w:pStyle w:val="Akapitzlist"/>
        <w:numPr>
          <w:ilvl w:val="0"/>
          <w:numId w:val="8"/>
        </w:numPr>
        <w:ind w:left="284" w:hanging="284"/>
      </w:pPr>
      <w:r>
        <w:t>Możliwość zdefiniowania minimalnej i maksymalnej ilości grup uczniowskich.</w:t>
      </w:r>
    </w:p>
    <w:p w:rsidR="00BE3D2A" w:rsidRDefault="00BE3D2A" w:rsidP="00BE3D2A">
      <w:pPr>
        <w:pStyle w:val="Akapitzlist"/>
        <w:numPr>
          <w:ilvl w:val="0"/>
          <w:numId w:val="8"/>
        </w:numPr>
        <w:ind w:left="284" w:hanging="284"/>
      </w:pPr>
      <w:r>
        <w:t>Możliwość zdefiniowania liczby używanych wejść audio.</w:t>
      </w:r>
    </w:p>
    <w:p w:rsidR="00BE3D2A" w:rsidRDefault="00BE3D2A" w:rsidP="00BE3D2A">
      <w:pPr>
        <w:pStyle w:val="Akapitzlist"/>
        <w:numPr>
          <w:ilvl w:val="0"/>
          <w:numId w:val="8"/>
        </w:numPr>
        <w:ind w:left="284" w:hanging="284"/>
      </w:pPr>
      <w:r>
        <w:t>Przypisanie nazw własnych kolejnym wejściom audio.</w:t>
      </w:r>
    </w:p>
    <w:p w:rsidR="00BE3D2A" w:rsidRDefault="00BE3D2A" w:rsidP="00BE3D2A">
      <w:pPr>
        <w:pStyle w:val="Akapitzlist"/>
        <w:numPr>
          <w:ilvl w:val="0"/>
          <w:numId w:val="8"/>
        </w:numPr>
        <w:ind w:left="284" w:hanging="284"/>
      </w:pPr>
      <w:r>
        <w:t>Cyfrowa, niezależna regulacja siły głosu dla każdego ucznia osobno lub dla wszystkich łącznie (uwzględnia potrzeby uczniów słabo słyszących i niedosłyszących).</w:t>
      </w:r>
    </w:p>
    <w:p w:rsidR="00BE3D2A" w:rsidRDefault="00BE3D2A" w:rsidP="00BE3D2A">
      <w:pPr>
        <w:pStyle w:val="Akapitzlist"/>
        <w:numPr>
          <w:ilvl w:val="0"/>
          <w:numId w:val="8"/>
        </w:numPr>
        <w:ind w:left="284" w:hanging="284"/>
      </w:pPr>
      <w:r>
        <w:t>Cyfrowa, niezależna regulacja głośności 8 wejść dźwięku.</w:t>
      </w:r>
    </w:p>
    <w:p w:rsidR="00BE3D2A" w:rsidRDefault="00BE3D2A" w:rsidP="00BE3D2A">
      <w:pPr>
        <w:pStyle w:val="Akapitzlist"/>
        <w:numPr>
          <w:ilvl w:val="0"/>
          <w:numId w:val="8"/>
        </w:numPr>
        <w:ind w:left="284" w:hanging="284"/>
      </w:pPr>
      <w:r>
        <w:t>Cyfrowa regulacja głośności wyjść do nagrywania.</w:t>
      </w:r>
    </w:p>
    <w:p w:rsidR="00BE3D2A" w:rsidRDefault="00BE3D2A" w:rsidP="00BE3D2A">
      <w:r w:rsidRPr="00BE3D2A">
        <w:lastRenderedPageBreak/>
        <w:t>Tworzenie i edytowanie grup polega na przeciąganiu ikonek uczniów w odpowiednie miejsca w oknie oprogramowania sterującego</w:t>
      </w:r>
      <w:r>
        <w:t xml:space="preserve"> </w:t>
      </w:r>
      <w:r>
        <w:t>(Drag&amp;Drop).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>Dowolny podział uczniów na grupy o dowolnej liczebności (16 grup).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>Dowolne zestawianie uczniów w pary (16 par).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>Podział na pary/grupy może odbywać się automatycznie lub ręcznie,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>Automatyczne podziały uczniów na pary, trójki, czwórki – do wyboru kolejno stanowiskami lub losowo,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 xml:space="preserve">Nauczyciel może dowolne konfiguracje uczniów zapamiętać do późniejszego użycia za pomocą ośmiu  programowalnych przycisków umożliwiających szybką konfigurację klasy, którym będzie odpowiadał odpowiedni, pożądany podział na grupy i przypisane źródła dźwięku </w:t>
      </w:r>
      <w:r>
        <w:br/>
      </w:r>
      <w:r>
        <w:t>z nadaniem nazw przyciskom programowalnym.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>Możliwość podłączenia 8 urządzeń audio z opcją dystrybuowania dźwięku z każdego wejścia do oddzielnej grupy (8 grup jednocześnie odsłuchuje RÓŻNE programy).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>Niezależna praca w zestawionych grupach.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>Dowolne przemieszczanie uczniów pomiędzy grupami, za pomocą szybkiego przesunięcia ikonki.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>Podsłuch przez nauczyciela dowolnego ucznia, pary lub grupy.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>Wysyłanie programu/audycji z dowolnego źródła do wybranych grup.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>Prowadzenie wykładu przez wbudowany wzmacniacz i głośniki.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>Włączenie i wyłączenie podsłuchu własnego głosu.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>Włączenie i wyłączenie podsłuchu własnego głosu dla uczniów.</w:t>
      </w:r>
    </w:p>
    <w:p w:rsidR="00BE3D2A" w:rsidRDefault="00BE3D2A" w:rsidP="00BE3D2A">
      <w:pPr>
        <w:pStyle w:val="Akapitzlist"/>
        <w:numPr>
          <w:ilvl w:val="0"/>
          <w:numId w:val="9"/>
        </w:numPr>
        <w:ind w:left="284" w:hanging="284"/>
      </w:pPr>
      <w:r>
        <w:t>Zapis pracy (rozmów) na magnetofonie cyfrowym lub komputerze.</w:t>
      </w:r>
    </w:p>
    <w:p w:rsidR="00BE3D2A" w:rsidRDefault="00BE3D2A" w:rsidP="00BE3D2A"/>
    <w:p w:rsidR="00BE3D2A" w:rsidRDefault="00BE3D2A" w:rsidP="00BE3D2A">
      <w:r>
        <w:t>Przykładowe możliwości pracy z uczniami:</w:t>
      </w:r>
    </w:p>
    <w:p w:rsidR="00BE3D2A" w:rsidRDefault="00BE3D2A" w:rsidP="00BE3D2A">
      <w:pPr>
        <w:pStyle w:val="Akapitzlist"/>
        <w:numPr>
          <w:ilvl w:val="0"/>
          <w:numId w:val="10"/>
        </w:numPr>
        <w:ind w:left="284" w:hanging="284"/>
      </w:pPr>
      <w:r>
        <w:t>Podział uczniów na losowe pary niezależnie konwersujące ze sobą.</w:t>
      </w:r>
    </w:p>
    <w:p w:rsidR="00BE3D2A" w:rsidRDefault="00BE3D2A" w:rsidP="00BE3D2A">
      <w:pPr>
        <w:pStyle w:val="Akapitzlist"/>
        <w:numPr>
          <w:ilvl w:val="0"/>
          <w:numId w:val="10"/>
        </w:numPr>
        <w:ind w:left="284" w:hanging="284"/>
      </w:pPr>
      <w:r>
        <w:t>Podział uczniów na losowe czwórki, każda czwórka pracuje z innym programem audio.</w:t>
      </w:r>
    </w:p>
    <w:p w:rsidR="00BE3D2A" w:rsidRDefault="00BE3D2A" w:rsidP="00BE3D2A">
      <w:pPr>
        <w:pStyle w:val="Akapitzlist"/>
        <w:numPr>
          <w:ilvl w:val="0"/>
          <w:numId w:val="10"/>
        </w:numPr>
        <w:ind w:left="284" w:hanging="284"/>
      </w:pPr>
      <w:r>
        <w:t>Podział uczniów na dowolne grupy które jednocześnie realizują własne programy (np. grupa A dyskutuje z nauczycielem, grupa B słucha audycji i dyskutuje, w grupie C uczeń tłumaczy audycję a pozostali w grupie słuchają).</w:t>
      </w:r>
    </w:p>
    <w:p w:rsidR="00BE3D2A" w:rsidRDefault="00BE3D2A" w:rsidP="00BE3D2A">
      <w:pPr>
        <w:pStyle w:val="Akapitzlist"/>
        <w:numPr>
          <w:ilvl w:val="0"/>
          <w:numId w:val="10"/>
        </w:numPr>
        <w:ind w:left="284" w:hanging="284"/>
      </w:pPr>
      <w:r>
        <w:t>Konwersacja nauczyciela z uczniem, parą lub grupą, konwersacji mogą przysłuchiwać się osoby nie biorące w niej udziału.</w:t>
      </w:r>
    </w:p>
    <w:p w:rsidR="00BE3D2A" w:rsidRDefault="00BE3D2A" w:rsidP="00BE3D2A">
      <w:pPr>
        <w:pStyle w:val="Akapitzlist"/>
        <w:numPr>
          <w:ilvl w:val="0"/>
          <w:numId w:val="10"/>
        </w:numPr>
        <w:ind w:left="284" w:hanging="284"/>
      </w:pPr>
      <w:r>
        <w:t>Podsłuch przez nauczyciela dowolnego ucznia lub grupy.</w:t>
      </w:r>
    </w:p>
    <w:p w:rsidR="00BE3D2A" w:rsidRDefault="00BE3D2A" w:rsidP="00BE3D2A">
      <w:pPr>
        <w:pStyle w:val="Akapitzlist"/>
        <w:numPr>
          <w:ilvl w:val="0"/>
          <w:numId w:val="10"/>
        </w:numPr>
        <w:ind w:left="284" w:hanging="284"/>
      </w:pPr>
      <w:r>
        <w:t>Konwersacja nauczyciela z dowolnym uczniem lub grupą.</w:t>
      </w:r>
    </w:p>
    <w:p w:rsidR="002C48C4" w:rsidRDefault="002C48C4" w:rsidP="002C48C4"/>
    <w:p w:rsidR="002C48C4" w:rsidRDefault="002C48C4" w:rsidP="002C48C4"/>
    <w:p w:rsidR="002C48C4" w:rsidRDefault="002C48C4" w:rsidP="002C48C4"/>
    <w:p w:rsidR="002C48C4" w:rsidRDefault="002C48C4" w:rsidP="002C48C4"/>
    <w:p w:rsidR="002C48C4" w:rsidRDefault="002C48C4" w:rsidP="002C48C4"/>
    <w:p w:rsidR="002C48C4" w:rsidRDefault="002C48C4" w:rsidP="002C48C4"/>
    <w:p w:rsidR="002C48C4" w:rsidRDefault="002C48C4" w:rsidP="002C48C4">
      <w:bookmarkStart w:id="0" w:name="_GoBack"/>
      <w:bookmarkEnd w:id="0"/>
      <w:r>
        <w:lastRenderedPageBreak/>
        <w:t>Oprogramowanie magnetofonu cyfrowego, dwuścieżkowego.</w:t>
      </w:r>
    </w:p>
    <w:p w:rsidR="002C48C4" w:rsidRDefault="002C48C4" w:rsidP="002C48C4">
      <w:pPr>
        <w:pStyle w:val="Akapitzlist"/>
        <w:numPr>
          <w:ilvl w:val="0"/>
          <w:numId w:val="11"/>
        </w:numPr>
        <w:ind w:left="284" w:hanging="284"/>
      </w:pPr>
      <w:r>
        <w:t>Jednoczesne odtwarzanie dwóch plików dźwiękowych.</w:t>
      </w:r>
    </w:p>
    <w:p w:rsidR="002C48C4" w:rsidRDefault="002C48C4" w:rsidP="002C48C4">
      <w:pPr>
        <w:pStyle w:val="Akapitzlist"/>
        <w:numPr>
          <w:ilvl w:val="0"/>
          <w:numId w:val="11"/>
        </w:numPr>
        <w:ind w:left="284" w:hanging="284"/>
      </w:pPr>
      <w:r>
        <w:t>Jednoczesny zapis jednego pliku dźwiękowego i odtwarzanie innego pliku.</w:t>
      </w:r>
    </w:p>
    <w:p w:rsidR="002C48C4" w:rsidRDefault="002C48C4" w:rsidP="002C48C4">
      <w:pPr>
        <w:pStyle w:val="Akapitzlist"/>
        <w:numPr>
          <w:ilvl w:val="0"/>
          <w:numId w:val="11"/>
        </w:numPr>
        <w:ind w:left="284" w:hanging="284"/>
      </w:pPr>
      <w:r>
        <w:t>10 zakładek wyodrębniających część zapisu.</w:t>
      </w:r>
    </w:p>
    <w:p w:rsidR="002C48C4" w:rsidRDefault="002C48C4" w:rsidP="002C48C4">
      <w:pPr>
        <w:pStyle w:val="Akapitzlist"/>
        <w:numPr>
          <w:ilvl w:val="0"/>
          <w:numId w:val="11"/>
        </w:numPr>
        <w:ind w:left="284" w:hanging="284"/>
      </w:pPr>
      <w:r>
        <w:t>Wybór prędkości odtwarzania.</w:t>
      </w:r>
    </w:p>
    <w:p w:rsidR="002C48C4" w:rsidRDefault="002C48C4" w:rsidP="002C48C4">
      <w:pPr>
        <w:pStyle w:val="Akapitzlist"/>
        <w:numPr>
          <w:ilvl w:val="0"/>
          <w:numId w:val="11"/>
        </w:numPr>
        <w:ind w:left="284" w:hanging="284"/>
      </w:pPr>
      <w:r>
        <w:t>Graficzne przedstawienie przebiegu dźwięku (oscyloskop) i porównanie z oryginałem.</w:t>
      </w:r>
    </w:p>
    <w:p w:rsidR="002C48C4" w:rsidRDefault="002C48C4" w:rsidP="002C48C4">
      <w:pPr>
        <w:pStyle w:val="Akapitzlist"/>
        <w:numPr>
          <w:ilvl w:val="0"/>
          <w:numId w:val="11"/>
        </w:numPr>
        <w:ind w:left="284" w:hanging="284"/>
      </w:pPr>
      <w:r>
        <w:t>Zapis dźwięku słyszanego w słuchawkach i własnego głosu na dwóch oddzielnych ścieżkach.</w:t>
      </w:r>
    </w:p>
    <w:p w:rsidR="002C48C4" w:rsidRDefault="002C48C4" w:rsidP="002C48C4"/>
    <w:p w:rsidR="002C48C4" w:rsidRPr="002C48C4" w:rsidRDefault="002C48C4" w:rsidP="002C48C4">
      <w:pPr>
        <w:rPr>
          <w:b/>
        </w:rPr>
      </w:pPr>
      <w:r w:rsidRPr="002C48C4">
        <w:rPr>
          <w:b/>
        </w:rPr>
        <w:t>Ponadto, oferta winna obejmować:</w:t>
      </w:r>
    </w:p>
    <w:p w:rsidR="002C48C4" w:rsidRDefault="002C48C4" w:rsidP="002C48C4">
      <w:r>
        <w:t>Dostęp do panelu internetowego skąd można pobierać:</w:t>
      </w:r>
    </w:p>
    <w:p w:rsidR="002C48C4" w:rsidRDefault="002C48C4" w:rsidP="002C48C4">
      <w:pPr>
        <w:pStyle w:val="Akapitzlist"/>
        <w:numPr>
          <w:ilvl w:val="0"/>
          <w:numId w:val="12"/>
        </w:numPr>
        <w:ind w:left="284" w:hanging="284"/>
      </w:pPr>
      <w:r>
        <w:t>przykładowe scenariusze lekcji dla języka angielskiego i niemieckiego, opracowane na różne poziomy edukacyjne</w:t>
      </w:r>
      <w:r>
        <w:t xml:space="preserve"> </w:t>
      </w:r>
      <w:r>
        <w:t>(minimum 25 scenariuszy dla języka angielskiego i 25 dla niemieckiego),</w:t>
      </w:r>
    </w:p>
    <w:p w:rsidR="002C48C4" w:rsidRDefault="002C48C4" w:rsidP="002C48C4">
      <w:pPr>
        <w:pStyle w:val="Akapitzlist"/>
        <w:numPr>
          <w:ilvl w:val="0"/>
          <w:numId w:val="12"/>
        </w:numPr>
        <w:ind w:left="284" w:hanging="284"/>
      </w:pPr>
      <w:r>
        <w:t>aktualne materiały, instrukcje, programy, filmy instruktażowe z obsługi pracowni.</w:t>
      </w:r>
    </w:p>
    <w:p w:rsidR="002C48C4" w:rsidRDefault="002C48C4" w:rsidP="002C48C4">
      <w:r>
        <w:t>Gwarancj</w:t>
      </w:r>
      <w:r>
        <w:t>ę</w:t>
      </w:r>
      <w:r>
        <w:t xml:space="preserve"> na pracownię i słuchawki 60 miesięcy.</w:t>
      </w:r>
    </w:p>
    <w:p w:rsidR="002C48C4" w:rsidRDefault="002C48C4" w:rsidP="002C48C4">
      <w:r>
        <w:t>Certyfikat CE.</w:t>
      </w:r>
    </w:p>
    <w:p w:rsidR="002C48C4" w:rsidRDefault="002C48C4" w:rsidP="002C48C4">
      <w:r>
        <w:t>Dołączone do oferty certyfikaty na meble wydane przez jednostkę certyfikującą.</w:t>
      </w:r>
    </w:p>
    <w:p w:rsidR="002C48C4" w:rsidRDefault="002C48C4" w:rsidP="002C48C4">
      <w:r>
        <w:t>Nieodpłatne aktualizacje oprogramowania co najmniej przez okres gwarancji na pracownię.</w:t>
      </w:r>
    </w:p>
    <w:p w:rsidR="002C48C4" w:rsidRDefault="002C48C4" w:rsidP="002C48C4">
      <w:r>
        <w:t>Dostarczenie urządzeń, instalacja w miejscu wskazanym przez zamawiającego, rozruch technologiczny.</w:t>
      </w:r>
    </w:p>
    <w:p w:rsidR="002C48C4" w:rsidRDefault="002C48C4" w:rsidP="002C48C4">
      <w:r>
        <w:t>Przeszkolenie wstępne użytkowników z obsługi pracowni.</w:t>
      </w:r>
    </w:p>
    <w:p w:rsidR="002C48C4" w:rsidRDefault="002C48C4" w:rsidP="002C48C4">
      <w:r>
        <w:t>Wymagania serwisowe:</w:t>
      </w:r>
    </w:p>
    <w:p w:rsidR="002C48C4" w:rsidRDefault="002C48C4" w:rsidP="002C48C4">
      <w:pPr>
        <w:pStyle w:val="Akapitzlist"/>
        <w:numPr>
          <w:ilvl w:val="0"/>
          <w:numId w:val="13"/>
        </w:numPr>
        <w:ind w:left="284" w:hanging="284"/>
      </w:pPr>
      <w:r>
        <w:t>elektroniczny system zgłoszeń serwisowych na stronie producenta lub serwisu, z numerem przyjęcia i potwierdzeniem zgłoszenia,</w:t>
      </w:r>
    </w:p>
    <w:p w:rsidR="002C48C4" w:rsidRDefault="002C48C4" w:rsidP="002C48C4">
      <w:pPr>
        <w:pStyle w:val="Akapitzlist"/>
        <w:numPr>
          <w:ilvl w:val="0"/>
          <w:numId w:val="13"/>
        </w:numPr>
        <w:ind w:left="284" w:hanging="284"/>
      </w:pPr>
      <w:r>
        <w:t>usługi świadczone u klienta.</w:t>
      </w:r>
    </w:p>
    <w:sectPr w:rsidR="002C48C4" w:rsidSect="000E1463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9A5" w:rsidRDefault="004E79A5" w:rsidP="00321BAF">
      <w:r>
        <w:separator/>
      </w:r>
    </w:p>
  </w:endnote>
  <w:endnote w:type="continuationSeparator" w:id="0">
    <w:p w:rsidR="004E79A5" w:rsidRDefault="004E79A5" w:rsidP="0032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9A5" w:rsidRDefault="004E79A5" w:rsidP="00321BAF">
      <w:r>
        <w:separator/>
      </w:r>
    </w:p>
  </w:footnote>
  <w:footnote w:type="continuationSeparator" w:id="0">
    <w:p w:rsidR="004E79A5" w:rsidRDefault="004E79A5" w:rsidP="0032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4ED3"/>
    <w:multiLevelType w:val="hybridMultilevel"/>
    <w:tmpl w:val="7F60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30E1"/>
    <w:multiLevelType w:val="hybridMultilevel"/>
    <w:tmpl w:val="D0B40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3ECA"/>
    <w:multiLevelType w:val="hybridMultilevel"/>
    <w:tmpl w:val="1FEC0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275C4"/>
    <w:multiLevelType w:val="hybridMultilevel"/>
    <w:tmpl w:val="77E4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26C2B"/>
    <w:multiLevelType w:val="hybridMultilevel"/>
    <w:tmpl w:val="FCEA3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333A3"/>
    <w:multiLevelType w:val="hybridMultilevel"/>
    <w:tmpl w:val="88187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D233E"/>
    <w:multiLevelType w:val="hybridMultilevel"/>
    <w:tmpl w:val="82AA2704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422A0531"/>
    <w:multiLevelType w:val="hybridMultilevel"/>
    <w:tmpl w:val="D2B4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B4D12"/>
    <w:multiLevelType w:val="hybridMultilevel"/>
    <w:tmpl w:val="BCFA3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56EF"/>
    <w:multiLevelType w:val="hybridMultilevel"/>
    <w:tmpl w:val="AAEE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E6DAC"/>
    <w:multiLevelType w:val="hybridMultilevel"/>
    <w:tmpl w:val="41C2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718D1"/>
    <w:multiLevelType w:val="hybridMultilevel"/>
    <w:tmpl w:val="A3C44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C4E12"/>
    <w:multiLevelType w:val="hybridMultilevel"/>
    <w:tmpl w:val="78168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CB"/>
    <w:rsid w:val="00047FA2"/>
    <w:rsid w:val="000614CA"/>
    <w:rsid w:val="000E1463"/>
    <w:rsid w:val="00133CEE"/>
    <w:rsid w:val="001F69E3"/>
    <w:rsid w:val="002233E0"/>
    <w:rsid w:val="002A78E9"/>
    <w:rsid w:val="002C48C4"/>
    <w:rsid w:val="00321BAF"/>
    <w:rsid w:val="004260D2"/>
    <w:rsid w:val="004E6C6B"/>
    <w:rsid w:val="004E79A5"/>
    <w:rsid w:val="0051061E"/>
    <w:rsid w:val="00675F10"/>
    <w:rsid w:val="007663CB"/>
    <w:rsid w:val="008C55DA"/>
    <w:rsid w:val="009C40EC"/>
    <w:rsid w:val="00A43ED1"/>
    <w:rsid w:val="00A86E96"/>
    <w:rsid w:val="00B31809"/>
    <w:rsid w:val="00BE3D2A"/>
    <w:rsid w:val="00D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1C76-97D5-42FD-8B7B-A689AF0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63C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663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-fields-title-wrapper">
    <w:name w:val="product-fields-title-wrapper"/>
    <w:basedOn w:val="Domylnaczcionkaakapitu"/>
    <w:rsid w:val="000614CA"/>
  </w:style>
  <w:style w:type="character" w:styleId="Pogrubienie">
    <w:name w:val="Strong"/>
    <w:basedOn w:val="Domylnaczcionkaakapitu"/>
    <w:uiPriority w:val="22"/>
    <w:qFormat/>
    <w:rsid w:val="000614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B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B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7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1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13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194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7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69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64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1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29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1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878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15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65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7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78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97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84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10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10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70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073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5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086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81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65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48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03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41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628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15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08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61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25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38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05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52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4F4B-1277-4BB6-8F15-133876CF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1219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Łukasz Zawistowski</cp:lastModifiedBy>
  <cp:revision>3</cp:revision>
  <dcterms:created xsi:type="dcterms:W3CDTF">2022-06-13T08:16:00Z</dcterms:created>
  <dcterms:modified xsi:type="dcterms:W3CDTF">2022-06-13T09:26:00Z</dcterms:modified>
</cp:coreProperties>
</file>